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B5" w:rsidRPr="006452A2" w:rsidRDefault="00EB11D6" w:rsidP="00EB11D6">
      <w:pPr>
        <w:rPr>
          <w:rFonts w:ascii="Helvetica" w:hAnsi="Helvetica" w:cs="Helvetica"/>
          <w:b/>
          <w:bCs/>
          <w:color w:val="003359"/>
          <w:sz w:val="22"/>
          <w:szCs w:val="27"/>
          <w:shd w:val="clear" w:color="auto" w:fill="FFFFFF"/>
        </w:rPr>
      </w:pPr>
      <w:r w:rsidRPr="006452A2">
        <w:rPr>
          <w:rFonts w:ascii="Helvetica" w:hAnsi="Helvetica" w:cs="Helvetica"/>
          <w:b/>
          <w:bCs/>
          <w:color w:val="003359"/>
          <w:sz w:val="22"/>
          <w:szCs w:val="27"/>
          <w:shd w:val="clear" w:color="auto" w:fill="FFFFFF"/>
        </w:rPr>
        <w:t>Gender issues, cultural, linguistic, and Indigenous identity and perspectives</w:t>
      </w:r>
    </w:p>
    <w:p w:rsidR="00EB11D6" w:rsidRDefault="00EB11D6" w:rsidP="00EB11D6">
      <w:pPr>
        <w:rPr>
          <w:rFonts w:ascii="Helvetica" w:hAnsi="Helvetica" w:cs="Helvetica"/>
          <w:b/>
          <w:bCs/>
          <w:color w:val="003359"/>
          <w:szCs w:val="27"/>
          <w:shd w:val="clear" w:color="auto" w:fill="FFFFFF"/>
        </w:rPr>
      </w:pPr>
    </w:p>
    <w:p w:rsidR="00EB11D6" w:rsidRDefault="00EB11D6" w:rsidP="00EB11D6">
      <w:pPr>
        <w:rPr>
          <w:rFonts w:ascii="Times New Roman" w:hAnsi="Times New Roman" w:cs="Times New Roman"/>
          <w:sz w:val="22"/>
        </w:rPr>
      </w:pPr>
      <w:r>
        <w:rPr>
          <w:rFonts w:ascii="Times New Roman" w:hAnsi="Times New Roman" w:cs="Times New Roman"/>
          <w:sz w:val="22"/>
        </w:rPr>
        <w:t>Linguistically, I ca</w:t>
      </w:r>
      <w:r w:rsidR="005F41E5">
        <w:rPr>
          <w:rFonts w:ascii="Times New Roman" w:hAnsi="Times New Roman" w:cs="Times New Roman"/>
          <w:sz w:val="22"/>
        </w:rPr>
        <w:t>n only imagine how difficult for many</w:t>
      </w:r>
      <w:r>
        <w:rPr>
          <w:rFonts w:ascii="Times New Roman" w:hAnsi="Times New Roman" w:cs="Times New Roman"/>
          <w:sz w:val="22"/>
        </w:rPr>
        <w:t xml:space="preserve"> EAL/D, </w:t>
      </w:r>
      <w:r w:rsidR="005F41E5">
        <w:rPr>
          <w:rFonts w:ascii="Times New Roman" w:hAnsi="Times New Roman" w:cs="Times New Roman"/>
          <w:sz w:val="22"/>
        </w:rPr>
        <w:t xml:space="preserve">people, </w:t>
      </w:r>
      <w:r>
        <w:rPr>
          <w:rFonts w:ascii="Times New Roman" w:hAnsi="Times New Roman" w:cs="Times New Roman"/>
          <w:sz w:val="22"/>
        </w:rPr>
        <w:t xml:space="preserve">who come to a new area, with limited knowledge of language </w:t>
      </w:r>
      <w:r w:rsidR="005F41E5">
        <w:rPr>
          <w:rFonts w:ascii="Times New Roman" w:hAnsi="Times New Roman" w:cs="Times New Roman"/>
          <w:sz w:val="22"/>
        </w:rPr>
        <w:t>of their</w:t>
      </w:r>
      <w:r>
        <w:rPr>
          <w:rFonts w:ascii="Times New Roman" w:hAnsi="Times New Roman" w:cs="Times New Roman"/>
          <w:sz w:val="22"/>
        </w:rPr>
        <w:t xml:space="preserve"> environment.  One of the biggest factors in hindering this knowledge, I believe, is time</w:t>
      </w:r>
      <w:r w:rsidR="005F41E5">
        <w:rPr>
          <w:rFonts w:ascii="Times New Roman" w:hAnsi="Times New Roman" w:cs="Times New Roman"/>
          <w:sz w:val="22"/>
        </w:rPr>
        <w:t xml:space="preserve"> and opportunity to learn</w:t>
      </w:r>
      <w:r>
        <w:rPr>
          <w:rFonts w:ascii="Times New Roman" w:hAnsi="Times New Roman" w:cs="Times New Roman"/>
          <w:sz w:val="22"/>
        </w:rPr>
        <w:t xml:space="preserve">.  It is important, regardless of culture, for schools, teachers and all students to be involved in the </w:t>
      </w:r>
      <w:r w:rsidR="005F41E5">
        <w:rPr>
          <w:rFonts w:ascii="Times New Roman" w:hAnsi="Times New Roman" w:cs="Times New Roman"/>
          <w:sz w:val="22"/>
        </w:rPr>
        <w:t xml:space="preserve">learning </w:t>
      </w:r>
      <w:r>
        <w:rPr>
          <w:rFonts w:ascii="Times New Roman" w:hAnsi="Times New Roman" w:cs="Times New Roman"/>
          <w:sz w:val="22"/>
        </w:rPr>
        <w:t xml:space="preserve">process together and ensuring supportive means </w:t>
      </w:r>
      <w:r w:rsidR="005F41E5">
        <w:rPr>
          <w:rFonts w:ascii="Times New Roman" w:hAnsi="Times New Roman" w:cs="Times New Roman"/>
          <w:sz w:val="22"/>
        </w:rPr>
        <w:t xml:space="preserve">and opportunity for practice, </w:t>
      </w:r>
      <w:r>
        <w:rPr>
          <w:rFonts w:ascii="Times New Roman" w:hAnsi="Times New Roman" w:cs="Times New Roman"/>
          <w:sz w:val="22"/>
        </w:rPr>
        <w:t>are provided to ass</w:t>
      </w:r>
      <w:r w:rsidR="005F41E5">
        <w:rPr>
          <w:rFonts w:ascii="Times New Roman" w:hAnsi="Times New Roman" w:cs="Times New Roman"/>
          <w:sz w:val="22"/>
        </w:rPr>
        <w:t>ist in new language development</w:t>
      </w:r>
      <w:r>
        <w:rPr>
          <w:rFonts w:ascii="Times New Roman" w:hAnsi="Times New Roman" w:cs="Times New Roman"/>
          <w:sz w:val="22"/>
        </w:rPr>
        <w:t>.  As Gibbons writes, “children can develop two languages at once-if their first language development is supported” (1991, p. 7).  Classrooms must ensure that each language used by students, is supported and displayed in the environment.</w:t>
      </w:r>
      <w:r w:rsidR="005F41E5">
        <w:rPr>
          <w:rFonts w:ascii="Times New Roman" w:hAnsi="Times New Roman" w:cs="Times New Roman"/>
          <w:sz w:val="22"/>
        </w:rPr>
        <w:t xml:space="preserve"> </w:t>
      </w:r>
      <w:r>
        <w:rPr>
          <w:rFonts w:ascii="Times New Roman" w:hAnsi="Times New Roman" w:cs="Times New Roman"/>
          <w:sz w:val="22"/>
        </w:rPr>
        <w:t>To read that an EAL/D child’s “age-appropriate competence in [social] English” can take up to 7 years</w:t>
      </w:r>
      <w:r w:rsidR="005F41E5">
        <w:rPr>
          <w:rFonts w:ascii="Times New Roman" w:hAnsi="Times New Roman" w:cs="Times New Roman"/>
          <w:sz w:val="22"/>
        </w:rPr>
        <w:t xml:space="preserve"> shows to what extend linguistics must be developed/supported (De</w:t>
      </w:r>
      <w:r>
        <w:rPr>
          <w:rFonts w:ascii="Times New Roman" w:hAnsi="Times New Roman" w:cs="Times New Roman"/>
          <w:sz w:val="22"/>
        </w:rPr>
        <w:t xml:space="preserve"> Courcy, 2014).</w:t>
      </w:r>
      <w:r w:rsidR="00924DEF">
        <w:rPr>
          <w:rFonts w:ascii="Times New Roman" w:hAnsi="Times New Roman" w:cs="Times New Roman"/>
          <w:sz w:val="22"/>
        </w:rPr>
        <w:t xml:space="preserve">  There is such a vast array of elements to consider:- the way language is taught; ways for practice and even assessment</w:t>
      </w:r>
      <w:r w:rsidR="005F41E5">
        <w:rPr>
          <w:rFonts w:ascii="Times New Roman" w:hAnsi="Times New Roman" w:cs="Times New Roman"/>
          <w:sz w:val="22"/>
        </w:rPr>
        <w:t>, and equally</w:t>
      </w:r>
      <w:r w:rsidR="00924DEF">
        <w:rPr>
          <w:rFonts w:ascii="Times New Roman" w:hAnsi="Times New Roman" w:cs="Times New Roman"/>
          <w:sz w:val="22"/>
        </w:rPr>
        <w:t xml:space="preserve"> vital to think about “EAL/D progress rather than deficient English” (p. 62).</w:t>
      </w:r>
    </w:p>
    <w:p w:rsidR="00924DEF" w:rsidRDefault="00924DEF" w:rsidP="00EB11D6">
      <w:pPr>
        <w:rPr>
          <w:rFonts w:ascii="Times New Roman" w:hAnsi="Times New Roman" w:cs="Times New Roman"/>
          <w:sz w:val="22"/>
        </w:rPr>
      </w:pPr>
    </w:p>
    <w:p w:rsidR="005F41E5" w:rsidRDefault="00924DEF" w:rsidP="00EB11D6">
      <w:pPr>
        <w:rPr>
          <w:rFonts w:ascii="Times New Roman" w:hAnsi="Times New Roman" w:cs="Times New Roman"/>
          <w:sz w:val="22"/>
        </w:rPr>
      </w:pPr>
      <w:r>
        <w:rPr>
          <w:rFonts w:ascii="Times New Roman" w:hAnsi="Times New Roman" w:cs="Times New Roman"/>
          <w:sz w:val="22"/>
        </w:rPr>
        <w:t xml:space="preserve">Indigenous </w:t>
      </w:r>
      <w:r w:rsidR="005F41E5">
        <w:rPr>
          <w:rFonts w:ascii="Times New Roman" w:hAnsi="Times New Roman" w:cs="Times New Roman"/>
          <w:sz w:val="22"/>
        </w:rPr>
        <w:t xml:space="preserve">(and other), </w:t>
      </w:r>
      <w:r>
        <w:rPr>
          <w:rFonts w:ascii="Times New Roman" w:hAnsi="Times New Roman" w:cs="Times New Roman"/>
          <w:sz w:val="22"/>
        </w:rPr>
        <w:t xml:space="preserve">cultures and identities can result in very different meanings of language, which need to be identified, and supported in their use, alongside SAE, enabling two-way teaching.  It is disappointing to observe the comparative Table 4.2, regarding the disadvantage present </w:t>
      </w:r>
      <w:r w:rsidR="005F41E5">
        <w:rPr>
          <w:rFonts w:ascii="Times New Roman" w:hAnsi="Times New Roman" w:cs="Times New Roman"/>
          <w:sz w:val="22"/>
        </w:rPr>
        <w:t>in</w:t>
      </w:r>
      <w:r>
        <w:rPr>
          <w:rFonts w:ascii="Times New Roman" w:hAnsi="Times New Roman" w:cs="Times New Roman"/>
          <w:sz w:val="22"/>
        </w:rPr>
        <w:t xml:space="preserve"> educational outcomes between Indigenous and non-Indigenous Austr</w:t>
      </w:r>
      <w:r w:rsidR="00045460">
        <w:rPr>
          <w:rFonts w:ascii="Times New Roman" w:hAnsi="Times New Roman" w:cs="Times New Roman"/>
          <w:sz w:val="22"/>
        </w:rPr>
        <w:t>alians. (Andersen &amp; Walte</w:t>
      </w:r>
      <w:r w:rsidR="005F41E5">
        <w:rPr>
          <w:rFonts w:ascii="Times New Roman" w:hAnsi="Times New Roman" w:cs="Times New Roman"/>
          <w:sz w:val="22"/>
        </w:rPr>
        <w:t>r, 2014, p. 71</w:t>
      </w:r>
      <w:r>
        <w:rPr>
          <w:rFonts w:ascii="Times New Roman" w:hAnsi="Times New Roman" w:cs="Times New Roman"/>
          <w:sz w:val="22"/>
        </w:rPr>
        <w:t>)</w:t>
      </w:r>
      <w:r w:rsidR="00045460">
        <w:rPr>
          <w:rFonts w:ascii="Times New Roman" w:hAnsi="Times New Roman" w:cs="Times New Roman"/>
          <w:sz w:val="22"/>
        </w:rPr>
        <w:t>.  Much more needs to be done to give these students opportunity to keep up</w:t>
      </w:r>
      <w:r w:rsidR="005F41E5">
        <w:rPr>
          <w:rFonts w:ascii="Times New Roman" w:hAnsi="Times New Roman" w:cs="Times New Roman"/>
          <w:sz w:val="22"/>
        </w:rPr>
        <w:t xml:space="preserve"> </w:t>
      </w:r>
      <w:r w:rsidR="00045460">
        <w:rPr>
          <w:rFonts w:ascii="Times New Roman" w:hAnsi="Times New Roman" w:cs="Times New Roman"/>
          <w:sz w:val="22"/>
        </w:rPr>
        <w:t>with the rest of the Australian population – a large part of this is keeping them engaged in their learning</w:t>
      </w:r>
      <w:r w:rsidR="005F41E5">
        <w:rPr>
          <w:rFonts w:ascii="Times New Roman" w:hAnsi="Times New Roman" w:cs="Times New Roman"/>
          <w:sz w:val="22"/>
        </w:rPr>
        <w:t>, as well as attending school.</w:t>
      </w:r>
    </w:p>
    <w:p w:rsidR="005F41E5" w:rsidRDefault="005F41E5" w:rsidP="00EB11D6">
      <w:pPr>
        <w:rPr>
          <w:rFonts w:ascii="Times New Roman" w:hAnsi="Times New Roman" w:cs="Times New Roman"/>
          <w:sz w:val="22"/>
        </w:rPr>
      </w:pPr>
    </w:p>
    <w:p w:rsidR="00045460" w:rsidRDefault="00045460" w:rsidP="00EB11D6">
      <w:pPr>
        <w:rPr>
          <w:rFonts w:ascii="Times New Roman" w:hAnsi="Times New Roman" w:cs="Times New Roman"/>
          <w:sz w:val="22"/>
        </w:rPr>
      </w:pPr>
      <w:r>
        <w:rPr>
          <w:rFonts w:ascii="Times New Roman" w:hAnsi="Times New Roman" w:cs="Times New Roman"/>
          <w:sz w:val="22"/>
        </w:rPr>
        <w:t xml:space="preserve">Gender equity, encompassing both biological and cultural influences, also </w:t>
      </w:r>
      <w:r w:rsidR="005F41E5">
        <w:rPr>
          <w:rFonts w:ascii="Times New Roman" w:hAnsi="Times New Roman" w:cs="Times New Roman"/>
          <w:sz w:val="22"/>
        </w:rPr>
        <w:t>plays a</w:t>
      </w:r>
      <w:r>
        <w:rPr>
          <w:rFonts w:ascii="Times New Roman" w:hAnsi="Times New Roman" w:cs="Times New Roman"/>
          <w:sz w:val="22"/>
        </w:rPr>
        <w:t xml:space="preserve"> part in learning outcomes.  </w:t>
      </w:r>
      <w:r w:rsidR="005F41E5">
        <w:rPr>
          <w:rFonts w:ascii="Times New Roman" w:hAnsi="Times New Roman" w:cs="Times New Roman"/>
          <w:sz w:val="22"/>
        </w:rPr>
        <w:t>I</w:t>
      </w:r>
      <w:r>
        <w:rPr>
          <w:rFonts w:ascii="Times New Roman" w:hAnsi="Times New Roman" w:cs="Times New Roman"/>
          <w:sz w:val="22"/>
        </w:rPr>
        <w:t>n my previous placement, what is seen as a boy</w:t>
      </w:r>
      <w:r w:rsidR="005F41E5">
        <w:rPr>
          <w:rFonts w:ascii="Times New Roman" w:hAnsi="Times New Roman" w:cs="Times New Roman"/>
          <w:sz w:val="22"/>
        </w:rPr>
        <w:t xml:space="preserve"> vs girl</w:t>
      </w:r>
      <w:r>
        <w:rPr>
          <w:rFonts w:ascii="Times New Roman" w:hAnsi="Times New Roman" w:cs="Times New Roman"/>
          <w:sz w:val="22"/>
        </w:rPr>
        <w:t xml:space="preserve"> </w:t>
      </w:r>
      <w:r w:rsidR="005F41E5">
        <w:rPr>
          <w:rFonts w:ascii="Times New Roman" w:hAnsi="Times New Roman" w:cs="Times New Roman"/>
          <w:sz w:val="22"/>
        </w:rPr>
        <w:t>thing</w:t>
      </w:r>
      <w:r>
        <w:rPr>
          <w:rFonts w:ascii="Times New Roman" w:hAnsi="Times New Roman" w:cs="Times New Roman"/>
          <w:sz w:val="22"/>
        </w:rPr>
        <w:t xml:space="preserve">, can impact on learning, or willingness to engage. </w:t>
      </w:r>
      <w:r w:rsidR="005F41E5">
        <w:rPr>
          <w:rFonts w:ascii="Times New Roman" w:hAnsi="Times New Roman" w:cs="Times New Roman"/>
          <w:sz w:val="22"/>
        </w:rPr>
        <w:t>An</w:t>
      </w:r>
      <w:r>
        <w:rPr>
          <w:rFonts w:ascii="Times New Roman" w:hAnsi="Times New Roman" w:cs="Times New Roman"/>
          <w:sz w:val="22"/>
        </w:rPr>
        <w:t xml:space="preserve"> activity involv</w:t>
      </w:r>
      <w:r w:rsidR="005F41E5">
        <w:rPr>
          <w:rFonts w:ascii="Times New Roman" w:hAnsi="Times New Roman" w:cs="Times New Roman"/>
          <w:sz w:val="22"/>
        </w:rPr>
        <w:t>ing the use of</w:t>
      </w:r>
      <w:r>
        <w:rPr>
          <w:rFonts w:ascii="Times New Roman" w:hAnsi="Times New Roman" w:cs="Times New Roman"/>
          <w:sz w:val="22"/>
        </w:rPr>
        <w:t xml:space="preserve"> different coloured paints (one colour was pink)</w:t>
      </w:r>
      <w:r w:rsidR="005F41E5">
        <w:rPr>
          <w:rFonts w:ascii="Times New Roman" w:hAnsi="Times New Roman" w:cs="Times New Roman"/>
          <w:sz w:val="22"/>
        </w:rPr>
        <w:t xml:space="preserve">, saw one </w:t>
      </w:r>
      <w:r>
        <w:rPr>
          <w:rFonts w:ascii="Times New Roman" w:hAnsi="Times New Roman" w:cs="Times New Roman"/>
          <w:sz w:val="22"/>
        </w:rPr>
        <w:t>boy reach</w:t>
      </w:r>
      <w:r w:rsidR="005F41E5">
        <w:rPr>
          <w:rFonts w:ascii="Times New Roman" w:hAnsi="Times New Roman" w:cs="Times New Roman"/>
          <w:sz w:val="22"/>
        </w:rPr>
        <w:t>ing</w:t>
      </w:r>
      <w:r>
        <w:rPr>
          <w:rFonts w:ascii="Times New Roman" w:hAnsi="Times New Roman" w:cs="Times New Roman"/>
          <w:sz w:val="22"/>
        </w:rPr>
        <w:t xml:space="preserve"> for the pink paint, </w:t>
      </w:r>
      <w:r w:rsidR="005F41E5">
        <w:rPr>
          <w:rFonts w:ascii="Times New Roman" w:hAnsi="Times New Roman" w:cs="Times New Roman"/>
          <w:sz w:val="22"/>
        </w:rPr>
        <w:t>only to be addressed by another</w:t>
      </w:r>
      <w:r>
        <w:rPr>
          <w:rFonts w:ascii="Times New Roman" w:hAnsi="Times New Roman" w:cs="Times New Roman"/>
          <w:sz w:val="22"/>
        </w:rPr>
        <w:t>, saying “don’t use that colour – that’s only for girls”.  Another issue that I experienced in this placement was one of the staff informing me, that within the culture of the families, it was often viewed that boys, did not take instruction from women due to their family belief/heritage.</w:t>
      </w:r>
    </w:p>
    <w:p w:rsidR="00045460" w:rsidRDefault="00045460" w:rsidP="00EB11D6">
      <w:pPr>
        <w:rPr>
          <w:rFonts w:ascii="Times New Roman" w:hAnsi="Times New Roman" w:cs="Times New Roman"/>
          <w:sz w:val="22"/>
        </w:rPr>
      </w:pPr>
    </w:p>
    <w:p w:rsidR="00045460" w:rsidRDefault="00045460" w:rsidP="00EB11D6">
      <w:pPr>
        <w:rPr>
          <w:rFonts w:ascii="Times New Roman" w:hAnsi="Times New Roman" w:cs="Times New Roman"/>
          <w:sz w:val="22"/>
        </w:rPr>
      </w:pPr>
      <w:r>
        <w:rPr>
          <w:rFonts w:ascii="Times New Roman" w:hAnsi="Times New Roman" w:cs="Times New Roman"/>
          <w:sz w:val="22"/>
        </w:rPr>
        <w:t xml:space="preserve">Each person is an individual, regardless of gender, race, </w:t>
      </w:r>
      <w:r w:rsidR="003B351F">
        <w:rPr>
          <w:rFonts w:ascii="Times New Roman" w:hAnsi="Times New Roman" w:cs="Times New Roman"/>
          <w:sz w:val="22"/>
        </w:rPr>
        <w:t xml:space="preserve">or </w:t>
      </w:r>
      <w:r>
        <w:rPr>
          <w:rFonts w:ascii="Times New Roman" w:hAnsi="Times New Roman" w:cs="Times New Roman"/>
          <w:sz w:val="22"/>
        </w:rPr>
        <w:t>religion, and no two people are the same.  Classroom teaching must focus on providing each child with learning, that develops their “capacities and attributes”, irrespective of gender, linguistic ability, culture or social background. (Nagel &amp; Scholes, 2014, p. 95).</w:t>
      </w:r>
    </w:p>
    <w:p w:rsidR="00AD0CC6" w:rsidRDefault="00AD0CC6" w:rsidP="00EB11D6">
      <w:pPr>
        <w:rPr>
          <w:rFonts w:ascii="Times New Roman" w:hAnsi="Times New Roman" w:cs="Times New Roman"/>
          <w:sz w:val="22"/>
        </w:rPr>
      </w:pPr>
    </w:p>
    <w:p w:rsidR="006452A2" w:rsidRDefault="006452A2" w:rsidP="006452A2">
      <w:pPr>
        <w:spacing w:line="276" w:lineRule="auto"/>
        <w:ind w:left="720" w:hanging="720"/>
        <w:rPr>
          <w:rFonts w:ascii="Times New Roman" w:hAnsi="Times New Roman" w:cs="Times New Roman"/>
          <w:sz w:val="22"/>
        </w:rPr>
      </w:pPr>
      <w:r>
        <w:rPr>
          <w:rFonts w:ascii="Times New Roman" w:hAnsi="Times New Roman" w:cs="Times New Roman"/>
          <w:sz w:val="22"/>
        </w:rPr>
        <w:t xml:space="preserve">Andersen, C. &amp; Walter, M. (2014). Indigenous Perspectives and Cultural Identity. In M. Hyde, L. Carpenter &amp; R. Conway (Eds.). </w:t>
      </w:r>
      <w:r w:rsidRPr="006452A2">
        <w:rPr>
          <w:rFonts w:ascii="Times New Roman" w:hAnsi="Times New Roman" w:cs="Times New Roman"/>
          <w:i/>
          <w:sz w:val="22"/>
        </w:rPr>
        <w:t>Diversity, inclusion and engagement</w:t>
      </w:r>
      <w:r>
        <w:rPr>
          <w:rFonts w:ascii="Times New Roman" w:hAnsi="Times New Roman" w:cs="Times New Roman"/>
          <w:sz w:val="22"/>
        </w:rPr>
        <w:t>. (2</w:t>
      </w:r>
      <w:r w:rsidRPr="006452A2">
        <w:rPr>
          <w:rFonts w:ascii="Times New Roman" w:hAnsi="Times New Roman" w:cs="Times New Roman"/>
          <w:sz w:val="22"/>
          <w:vertAlign w:val="superscript"/>
        </w:rPr>
        <w:t>nd</w:t>
      </w:r>
      <w:r>
        <w:rPr>
          <w:rFonts w:ascii="Times New Roman" w:hAnsi="Times New Roman" w:cs="Times New Roman"/>
          <w:sz w:val="22"/>
        </w:rPr>
        <w:t xml:space="preserve"> ed.). (pp. 67-89). Victoria: Oxford University Press.</w:t>
      </w:r>
    </w:p>
    <w:p w:rsidR="006452A2" w:rsidRDefault="006452A2" w:rsidP="006452A2">
      <w:pPr>
        <w:spacing w:line="276" w:lineRule="auto"/>
        <w:rPr>
          <w:rFonts w:ascii="Times New Roman" w:hAnsi="Times New Roman" w:cs="Times New Roman"/>
          <w:sz w:val="22"/>
        </w:rPr>
      </w:pPr>
    </w:p>
    <w:p w:rsidR="006452A2" w:rsidRDefault="006452A2" w:rsidP="006452A2">
      <w:pPr>
        <w:spacing w:line="276" w:lineRule="auto"/>
        <w:ind w:left="720" w:hanging="720"/>
        <w:rPr>
          <w:rFonts w:ascii="Times New Roman" w:hAnsi="Times New Roman" w:cs="Times New Roman"/>
          <w:sz w:val="22"/>
        </w:rPr>
      </w:pPr>
      <w:r>
        <w:rPr>
          <w:rFonts w:ascii="Times New Roman" w:hAnsi="Times New Roman" w:cs="Times New Roman"/>
          <w:sz w:val="22"/>
        </w:rPr>
        <w:t xml:space="preserve">De Courcy, M. (2014). Linguistic and Cultural Diversity. In M. Hyde, L. Carpenter &amp; R. Conway (Eds.). </w:t>
      </w:r>
      <w:r w:rsidRPr="006452A2">
        <w:rPr>
          <w:rFonts w:ascii="Times New Roman" w:hAnsi="Times New Roman" w:cs="Times New Roman"/>
          <w:i/>
          <w:sz w:val="22"/>
        </w:rPr>
        <w:t>Diversity, inclusion and engagement</w:t>
      </w:r>
      <w:r>
        <w:rPr>
          <w:rFonts w:ascii="Times New Roman" w:hAnsi="Times New Roman" w:cs="Times New Roman"/>
          <w:sz w:val="22"/>
        </w:rPr>
        <w:t>. (2</w:t>
      </w:r>
      <w:r w:rsidRPr="006452A2">
        <w:rPr>
          <w:rFonts w:ascii="Times New Roman" w:hAnsi="Times New Roman" w:cs="Times New Roman"/>
          <w:sz w:val="22"/>
          <w:vertAlign w:val="superscript"/>
        </w:rPr>
        <w:t>nd</w:t>
      </w:r>
      <w:r>
        <w:rPr>
          <w:rFonts w:ascii="Times New Roman" w:hAnsi="Times New Roman" w:cs="Times New Roman"/>
          <w:sz w:val="22"/>
        </w:rPr>
        <w:t xml:space="preserve"> ed.). (pp. 41-65). Victoria: Oxford University Press.</w:t>
      </w:r>
    </w:p>
    <w:p w:rsidR="006452A2" w:rsidRDefault="006452A2" w:rsidP="006452A2">
      <w:pPr>
        <w:spacing w:line="276" w:lineRule="auto"/>
        <w:rPr>
          <w:rFonts w:ascii="Times New Roman" w:hAnsi="Times New Roman" w:cs="Times New Roman"/>
          <w:sz w:val="22"/>
        </w:rPr>
      </w:pPr>
    </w:p>
    <w:p w:rsidR="003B351F" w:rsidRDefault="003B351F" w:rsidP="006452A2">
      <w:pPr>
        <w:spacing w:line="276" w:lineRule="auto"/>
        <w:ind w:left="720" w:hanging="720"/>
        <w:rPr>
          <w:rFonts w:ascii="Times New Roman" w:hAnsi="Times New Roman" w:cs="Times New Roman"/>
          <w:sz w:val="22"/>
        </w:rPr>
      </w:pPr>
      <w:r>
        <w:rPr>
          <w:rFonts w:ascii="Times New Roman" w:hAnsi="Times New Roman" w:cs="Times New Roman"/>
          <w:sz w:val="22"/>
        </w:rPr>
        <w:t>Hyde, M., Carpenter, L. &amp; Conway, R.</w:t>
      </w:r>
      <w:r w:rsidR="006452A2">
        <w:rPr>
          <w:rFonts w:ascii="Times New Roman" w:hAnsi="Times New Roman" w:cs="Times New Roman"/>
          <w:sz w:val="22"/>
        </w:rPr>
        <w:t xml:space="preserve"> (Eds.).</w:t>
      </w:r>
      <w:r>
        <w:rPr>
          <w:rFonts w:ascii="Times New Roman" w:hAnsi="Times New Roman" w:cs="Times New Roman"/>
          <w:sz w:val="22"/>
        </w:rPr>
        <w:t xml:space="preserve"> (2014). </w:t>
      </w:r>
      <w:r w:rsidRPr="003B351F">
        <w:rPr>
          <w:rFonts w:ascii="Times New Roman" w:hAnsi="Times New Roman" w:cs="Times New Roman"/>
          <w:i/>
          <w:sz w:val="22"/>
        </w:rPr>
        <w:t>Diversity, inclusion and engagement</w:t>
      </w:r>
      <w:r>
        <w:rPr>
          <w:rFonts w:ascii="Times New Roman" w:hAnsi="Times New Roman" w:cs="Times New Roman"/>
          <w:sz w:val="22"/>
        </w:rPr>
        <w:t>. 2</w:t>
      </w:r>
      <w:r w:rsidRPr="003B351F">
        <w:rPr>
          <w:rFonts w:ascii="Times New Roman" w:hAnsi="Times New Roman" w:cs="Times New Roman"/>
          <w:sz w:val="22"/>
          <w:vertAlign w:val="superscript"/>
        </w:rPr>
        <w:t>nd</w:t>
      </w:r>
      <w:r>
        <w:rPr>
          <w:rFonts w:ascii="Times New Roman" w:hAnsi="Times New Roman" w:cs="Times New Roman"/>
          <w:sz w:val="22"/>
        </w:rPr>
        <w:t xml:space="preserve"> ed.Victoria: Oxford University Press.</w:t>
      </w:r>
    </w:p>
    <w:p w:rsidR="00AD0CC6" w:rsidRDefault="00AD0CC6" w:rsidP="006452A2">
      <w:pPr>
        <w:spacing w:line="276" w:lineRule="auto"/>
        <w:rPr>
          <w:rFonts w:ascii="Times New Roman" w:hAnsi="Times New Roman" w:cs="Times New Roman"/>
          <w:sz w:val="22"/>
        </w:rPr>
      </w:pPr>
    </w:p>
    <w:p w:rsidR="00AD0CC6" w:rsidRPr="00EB11D6" w:rsidRDefault="006452A2" w:rsidP="00CC07DB">
      <w:pPr>
        <w:spacing w:line="276" w:lineRule="auto"/>
        <w:ind w:left="720" w:hanging="720"/>
        <w:rPr>
          <w:rFonts w:ascii="Times New Roman" w:hAnsi="Times New Roman" w:cs="Times New Roman"/>
          <w:sz w:val="22"/>
        </w:rPr>
      </w:pPr>
      <w:r>
        <w:rPr>
          <w:rFonts w:ascii="Times New Roman" w:hAnsi="Times New Roman" w:cs="Times New Roman"/>
          <w:sz w:val="22"/>
        </w:rPr>
        <w:t xml:space="preserve">Nagel, M. &amp; Scholes, L. (2014). Gender, Inclusivity and Engagement. In M. Hyde, L. Carpenter &amp; R. Conway (Eds.). </w:t>
      </w:r>
      <w:r w:rsidRPr="006452A2">
        <w:rPr>
          <w:rFonts w:ascii="Times New Roman" w:hAnsi="Times New Roman" w:cs="Times New Roman"/>
          <w:i/>
          <w:sz w:val="22"/>
        </w:rPr>
        <w:t>Diversity, inclusion and engagement</w:t>
      </w:r>
      <w:r>
        <w:rPr>
          <w:rFonts w:ascii="Times New Roman" w:hAnsi="Times New Roman" w:cs="Times New Roman"/>
          <w:sz w:val="22"/>
        </w:rPr>
        <w:t>. (2</w:t>
      </w:r>
      <w:r w:rsidRPr="006452A2">
        <w:rPr>
          <w:rFonts w:ascii="Times New Roman" w:hAnsi="Times New Roman" w:cs="Times New Roman"/>
          <w:sz w:val="22"/>
          <w:vertAlign w:val="superscript"/>
        </w:rPr>
        <w:t>nd</w:t>
      </w:r>
      <w:r>
        <w:rPr>
          <w:rFonts w:ascii="Times New Roman" w:hAnsi="Times New Roman" w:cs="Times New Roman"/>
          <w:sz w:val="22"/>
        </w:rPr>
        <w:t xml:space="preserve"> ed.). (pp. 91-105). Vi</w:t>
      </w:r>
      <w:r w:rsidR="00CC07DB">
        <w:rPr>
          <w:rFonts w:ascii="Times New Roman" w:hAnsi="Times New Roman" w:cs="Times New Roman"/>
          <w:sz w:val="22"/>
        </w:rPr>
        <w:t>ctoria: Oxford University Press</w:t>
      </w:r>
    </w:p>
    <w:sectPr w:rsidR="00AD0CC6" w:rsidRPr="00EB11D6" w:rsidSect="00C730E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4891"/>
    <w:rsid w:val="00017127"/>
    <w:rsid w:val="00045460"/>
    <w:rsid w:val="000513CD"/>
    <w:rsid w:val="002C34D5"/>
    <w:rsid w:val="003B351F"/>
    <w:rsid w:val="00401F93"/>
    <w:rsid w:val="00544891"/>
    <w:rsid w:val="005D5BE2"/>
    <w:rsid w:val="005F41E5"/>
    <w:rsid w:val="006452A2"/>
    <w:rsid w:val="006D7D68"/>
    <w:rsid w:val="00740AB5"/>
    <w:rsid w:val="0083300D"/>
    <w:rsid w:val="00924DEF"/>
    <w:rsid w:val="009A1AFA"/>
    <w:rsid w:val="00AD0CC6"/>
    <w:rsid w:val="00B83BB5"/>
    <w:rsid w:val="00C730EA"/>
    <w:rsid w:val="00C74442"/>
    <w:rsid w:val="00CC07DB"/>
    <w:rsid w:val="00EB11D6"/>
    <w:rsid w:val="00FD664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891"/>
    <w:rPr>
      <w:color w:val="0000FF" w:themeColor="hyperlink"/>
      <w:u w:val="single"/>
    </w:rPr>
  </w:style>
  <w:style w:type="paragraph" w:styleId="NormalWeb">
    <w:name w:val="Normal (Web)"/>
    <w:basedOn w:val="Normal"/>
    <w:uiPriority w:val="99"/>
    <w:semiHidden/>
    <w:unhideWhenUsed/>
    <w:rsid w:val="00AD0CC6"/>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8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2636251">
      <w:bodyDiv w:val="1"/>
      <w:marLeft w:val="0"/>
      <w:marRight w:val="0"/>
      <w:marTop w:val="0"/>
      <w:marBottom w:val="0"/>
      <w:divBdr>
        <w:top w:val="none" w:sz="0" w:space="0" w:color="auto"/>
        <w:left w:val="none" w:sz="0" w:space="0" w:color="auto"/>
        <w:bottom w:val="none" w:sz="0" w:space="0" w:color="auto"/>
        <w:right w:val="none" w:sz="0" w:space="0" w:color="auto"/>
      </w:divBdr>
    </w:div>
    <w:div w:id="916941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snig rig</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Plakakis</dc:creator>
  <cp:lastModifiedBy>Client</cp:lastModifiedBy>
  <cp:revision>2</cp:revision>
  <dcterms:created xsi:type="dcterms:W3CDTF">2016-01-27T02:49:00Z</dcterms:created>
  <dcterms:modified xsi:type="dcterms:W3CDTF">2016-01-27T02:49:00Z</dcterms:modified>
</cp:coreProperties>
</file>